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SV</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 xml:space="preserve">BILAGA VII</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INSTRUKTIONER FÖR RAPPORTERING AV FÖRLUSTER FRÅN UTLÅNING DÄR SÄKERHET STÄLLTS I FORM AV FAST EGENDOM</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Denna bilaga innehåller anvisningar till de mallar som ingår i bilaga VI till denna förordning.</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u w:val="none"/>
          <w:rFonts w:ascii="Times New Roman" w:hAnsi="Times New Roman"/>
        </w:rPr>
        <w:t xml:space="preserve">Samtliga allmänna anvisningar i del I i bilaga II till denna förordning gäller också.</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rFonts w:ascii="Times New Roman" w:hAnsi="Times New Roman"/>
        </w:rPr>
        <w:t xml:space="preserve">Tillämpningsområde för rapportering</w:t>
      </w:r>
    </w:p>
    <w:p w14:paraId="359D7D30" w14:textId="4FEFDEC0" w:rsidR="000907F9" w:rsidRPr="008A4E00" w:rsidRDefault="001E7A23" w:rsidP="002B6F88">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u w:val="none"/>
          <w:rFonts w:ascii="Times New Roman" w:hAnsi="Times New Roman"/>
        </w:rPr>
        <w:t xml:space="preserve">Institut som använder fast egendom i enlighet med del tre avdelning II i förordning (EU) nr 575/2013 ska rapportera de uppgifter som anges i artikel 430a.1 i förordning (EU) nr 575/2013.</w:t>
      </w:r>
      <w:r>
        <w:rPr>
          <w:sz w:val="24"/>
          <w:u w:val="none"/>
          <w:rFonts w:ascii="Times New Roman" w:hAnsi="Times New Roman"/>
        </w:rPr>
        <w:t xml:space="preserve"> </w:t>
      </w:r>
    </w:p>
    <w:p w14:paraId="11A2B1D6" w14:textId="4041595C"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u w:val="none"/>
          <w:rFonts w:ascii="Times New Roman" w:hAnsi="Times New Roman"/>
        </w:rPr>
        <w:t xml:space="preserve">Mallen täcker alla nationella marknader mot vilka ett institut/en grupp av institut är exponerade (se artikel 430a.1 i förordning (EU) nr 575/2013).</w:t>
      </w:r>
      <w:r>
        <w:rPr>
          <w:sz w:val="24"/>
          <w:u w:val="none"/>
          <w:rFonts w:ascii="Times New Roman" w:hAnsi="Times New Roman"/>
        </w:rPr>
        <w:t xml:space="preserve"> </w:t>
      </w:r>
      <w:r>
        <w:rPr>
          <w:sz w:val="24"/>
          <w:u w:val="none"/>
          <w:rFonts w:ascii="Times New Roman" w:hAnsi="Times New Roman"/>
        </w:rPr>
        <w:t xml:space="preserve">I enlighet med artikel 430a.2 tredje meningen ska uppgifterna rapporteras separat för varje fastighetsmarknad inom unionen.</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rFonts w:ascii="Times New Roman" w:hAnsi="Times New Roman"/>
        </w:rPr>
        <w:t xml:space="preserve">Definitioner</w:t>
      </w:r>
    </w:p>
    <w:p w14:paraId="2570AF77" w14:textId="02CB4066"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rPr>
          <w:sz w:val="24"/>
          <w:u w:val="none"/>
          <w:rFonts w:ascii="Times New Roman" w:hAnsi="Times New Roman"/>
        </w:rPr>
        <w:tab/>
      </w:r>
      <w:r>
        <w:rPr>
          <w:sz w:val="24"/>
          <w:u w:val="none"/>
          <w:rFonts w:ascii="Times New Roman" w:hAnsi="Times New Roman"/>
        </w:rPr>
        <w:t xml:space="preserve">Med </w:t>
      </w:r>
      <w:r>
        <w:rPr>
          <w:sz w:val="24"/>
          <w:u w:val="none"/>
          <w:i/>
          <w:iCs/>
          <w:rFonts w:ascii="Times New Roman" w:hAnsi="Times New Roman"/>
        </w:rPr>
        <w:t xml:space="preserve">förlust</w:t>
      </w:r>
      <w:r>
        <w:rPr>
          <w:sz w:val="24"/>
          <w:u w:val="none"/>
          <w:rFonts w:ascii="Times New Roman" w:hAnsi="Times New Roman"/>
        </w:rPr>
        <w:t xml:space="preserve"> avses förlust enligt definitionen i artikel 5.2 i förordning (EU) nr 575/2013, inbegripet förluster från leasade fastigheter.</w:t>
      </w:r>
      <w:r>
        <w:rPr>
          <w:sz w:val="24"/>
          <w:u w:val="none"/>
          <w:rFonts w:ascii="Times New Roman" w:hAnsi="Times New Roman"/>
        </w:rPr>
        <w:t xml:space="preserve"> </w:t>
      </w:r>
      <w:r>
        <w:rPr>
          <w:sz w:val="24"/>
          <w:u w:val="none"/>
          <w:rStyle w:val="InstructionsTabelleText"/>
          <w:rFonts w:ascii="Times New Roman" w:hAnsi="Times New Roman"/>
        </w:rPr>
        <w:t xml:space="preserve">Återvinning från andra källor (t.ex. bankgarantier, livförsäkringar med mera) ska inte redovisas som en minskning av förluster vid beräkning av förluster från fast egendom.</w:t>
      </w:r>
      <w:r>
        <w:rPr>
          <w:sz w:val="24"/>
          <w:u w:val="none"/>
          <w:rStyle w:val="InstructionsTabelleText"/>
          <w:rFonts w:ascii="Times New Roman" w:hAnsi="Times New Roman"/>
        </w:rPr>
        <w:t xml:space="preserve"> </w:t>
      </w:r>
      <w:r>
        <w:rPr>
          <w:sz w:val="24"/>
          <w:u w:val="none"/>
          <w:rFonts w:ascii="Times New Roman" w:hAnsi="Times New Roman"/>
        </w:rPr>
        <w:t xml:space="preserve">Förluster från en position ska inte nettas mot vinsten från en lyckad återvinning från en annan position.</w:t>
      </w:r>
    </w:p>
    <w:p w14:paraId="6F0824D8" w14:textId="0A599737"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rPr>
          <w:sz w:val="24"/>
          <w:u w:val="none"/>
          <w:rFonts w:ascii="Times New Roman" w:hAnsi="Times New Roman"/>
        </w:rPr>
        <w:tab/>
      </w:r>
      <w:r>
        <w:rPr>
          <w:sz w:val="24"/>
          <w:u w:val="none"/>
          <w:rFonts w:ascii="Times New Roman" w:hAnsi="Times New Roman"/>
        </w:rPr>
        <w:t xml:space="preserve">Beräkningen av ekonomisk förlust ska utgå från det utestående exponeringsvärdet per rapportdagen och ska minst innefatta</w:t>
      </w:r>
      <w:r>
        <w:rPr>
          <w:sz w:val="24"/>
          <w:u w:val="none"/>
          <w:rFonts w:ascii="Times New Roman" w:hAnsi="Times New Roman"/>
        </w:rPr>
        <w:t xml:space="preserve"> </w:t>
      </w:r>
      <w:r>
        <w:rPr>
          <w:sz w:val="24"/>
          <w:u w:val="none"/>
          <w:rFonts w:ascii="Times New Roman" w:hAnsi="Times New Roman"/>
        </w:rPr>
        <w:t xml:space="preserve">i) avkastning från realiserade säkerheter,</w:t>
      </w:r>
      <w:r>
        <w:rPr>
          <w:sz w:val="24"/>
          <w:u w:val="none"/>
          <w:rFonts w:ascii="Times New Roman" w:hAnsi="Times New Roman"/>
        </w:rPr>
        <w:t xml:space="preserve"> </w:t>
      </w:r>
      <w:r>
        <w:rPr>
          <w:sz w:val="24"/>
          <w:u w:val="none"/>
          <w:rFonts w:ascii="Times New Roman" w:hAnsi="Times New Roman"/>
        </w:rPr>
        <w:t xml:space="preserve">ii) direkta kostnader (inbegripet räntebetalningar och återvinningskostnader med koppling till likvidation av säkerheten),</w:t>
      </w:r>
      <w:r>
        <w:rPr>
          <w:sz w:val="24"/>
          <w:u w:val="none"/>
          <w:rFonts w:ascii="Times New Roman" w:hAnsi="Times New Roman"/>
        </w:rPr>
        <w:t xml:space="preserve"> </w:t>
      </w:r>
      <w:r>
        <w:rPr>
          <w:sz w:val="24"/>
          <w:u w:val="none"/>
          <w:rFonts w:ascii="Times New Roman" w:hAnsi="Times New Roman"/>
        </w:rPr>
        <w:t xml:space="preserve">samt iii) indirekta kostnader (inbegripet driftskostnader för återvinningsenheten).</w:t>
      </w:r>
      <w:r>
        <w:rPr>
          <w:sz w:val="24"/>
          <w:u w:val="none"/>
          <w:rFonts w:ascii="Times New Roman" w:hAnsi="Times New Roman"/>
        </w:rPr>
        <w:t xml:space="preserve"> </w:t>
      </w:r>
      <w:r>
        <w:rPr>
          <w:sz w:val="24"/>
          <w:u w:val="none"/>
          <w:rFonts w:ascii="Times New Roman" w:hAnsi="Times New Roman"/>
        </w:rPr>
        <w:t xml:space="preserve">Alla komponenter ska diskonteras till rapporteringsreferensdatum.</w:t>
      </w:r>
    </w:p>
    <w:p w14:paraId="267A70A6" w14:textId="1C8033F6"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rPr>
          <w:sz w:val="24"/>
          <w:u w:val="none"/>
          <w:rFonts w:ascii="Times New Roman" w:hAnsi="Times New Roman"/>
        </w:rPr>
        <w:tab/>
      </w:r>
      <w:r>
        <w:rPr>
          <w:sz w:val="24"/>
          <w:u w:val="none"/>
          <w:rFonts w:ascii="Times New Roman" w:hAnsi="Times New Roman"/>
        </w:rPr>
        <w:t xml:space="preserve">Exponeringsvärdet ska fastställas i enlighet med de regler som anges i del tre avdelning II i förordning (EU) nr 575/2013 (se kapitel 2 för institut som använder schablonmetoden och kapitel 3 för institut som använder internmetoden).</w:t>
      </w:r>
    </w:p>
    <w:p w14:paraId="424065A6" w14:textId="1475E130"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ab/>
      </w:r>
      <w:r>
        <w:rPr>
          <w:sz w:val="24"/>
          <w:u w:val="none"/>
          <w:rFonts w:ascii="Times New Roman" w:hAnsi="Times New Roman"/>
        </w:rPr>
        <w:t xml:space="preserve">Fastighetsvärdet ska fastställas i enlighet med artikel 4.1.74a i förordning (EU) nr 575/2013.</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rPr>
          <w:sz w:val="24"/>
          <w:u w:val="none"/>
          <w:rFonts w:ascii="Times New Roman" w:hAnsi="Times New Roman"/>
        </w:rPr>
        <w:tab/>
      </w:r>
      <w:r>
        <w:rPr>
          <w:sz w:val="24"/>
          <w:u w:val="none"/>
          <w:rFonts w:ascii="Times New Roman" w:hAnsi="Times New Roman"/>
        </w:rPr>
        <w:t xml:space="preserve">Valutakurseffekt:</w:t>
      </w:r>
      <w:r>
        <w:rPr>
          <w:sz w:val="24"/>
          <w:u w:val="none"/>
          <w:rFonts w:ascii="Times New Roman" w:hAnsi="Times New Roman"/>
        </w:rPr>
        <w:t xml:space="preserve"> </w:t>
      </w:r>
      <w:r>
        <w:rPr>
          <w:sz w:val="24"/>
          <w:u w:val="none"/>
          <w:rFonts w:ascii="Times New Roman" w:hAnsi="Times New Roman"/>
        </w:rPr>
        <w:t xml:space="preserve">Belopp ska räknas om till rapportvalutan med hjälp av rapportdagens valutakurs.</w:t>
      </w:r>
      <w:r>
        <w:rPr>
          <w:sz w:val="24"/>
          <w:u w:val="none"/>
          <w:rFonts w:ascii="Times New Roman" w:hAnsi="Times New Roman"/>
        </w:rPr>
        <w:t xml:space="preserve"> </w:t>
      </w:r>
      <w:r>
        <w:rPr>
          <w:sz w:val="24"/>
          <w:u w:val="none"/>
          <w:rFonts w:ascii="Times New Roman" w:hAnsi="Times New Roman"/>
        </w:rPr>
        <w:t xml:space="preserve">Uppskattningarna av de ekonomiska förlusterna ska dessutom ta hänsyn till valutakurseffekten om exponeringen eller säkerheten är noterad i en annan valuta.</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rFonts w:ascii="Times New Roman" w:hAnsi="Times New Roman"/>
        </w:rPr>
        <w:t xml:space="preserve">Geografisk uppdelning</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rPr>
          <w:sz w:val="24"/>
          <w:u w:val="none"/>
          <w:rFonts w:ascii="Times New Roman" w:hAnsi="Times New Roman"/>
        </w:rPr>
        <w:tab/>
      </w:r>
      <w:r>
        <w:rPr>
          <w:sz w:val="24"/>
          <w:u w:val="none"/>
          <w:rFonts w:ascii="Times New Roman" w:hAnsi="Times New Roman"/>
        </w:rPr>
        <w:t xml:space="preserve">Institut ska rapportera följande mallar:</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En totalmall.</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En mall för varje nationell marknad inom unionen mot vilken institutet är exponerat.</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En mall där uppgifter för samtliga nationella marknader utanför unionen mot vilka institutet är exponerat sammanräknas.</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rFonts w:ascii="Times New Roman" w:hAnsi="Times New Roman"/>
        </w:rPr>
        <w:t xml:space="preserve">Rapportering av exponeringar och förluster</w:t>
      </w:r>
    </w:p>
    <w:p w14:paraId="7DA3503A" w14:textId="02BE28D2" w:rsidR="007E3047" w:rsidRDefault="001E7A23" w:rsidP="00E27BC7">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Exponeringar och förluster ska rapporteras enligt följande:</w:t>
      </w:r>
    </w:p>
    <w:p w14:paraId="0806F39A" w14:textId="47B78A1A" w:rsidR="00E27BC7" w:rsidRDefault="00415BAF"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Kolumn 0010:</w:t>
      </w:r>
      <w:r>
        <w:rPr>
          <w:sz w:val="24"/>
          <w:u w:val="none"/>
          <w:rFonts w:ascii="Times New Roman" w:hAnsi="Times New Roman"/>
        </w:rPr>
        <w:t xml:space="preserve"> </w:t>
      </w:r>
      <w:r>
        <w:rPr>
          <w:sz w:val="24"/>
          <w:u w:val="none"/>
          <w:rFonts w:ascii="Times New Roman" w:hAnsi="Times New Roman"/>
        </w:rPr>
        <w:t xml:space="preserve">Förluster som rapporteras i enlighet med artikel 430a.1 a och d är förluster från exponeringar för vilka ett institut har godtagit bostadsfastigheter eller kommersiella fastigheter som säkerhet, </w:t>
      </w:r>
      <w:r>
        <w:rPr>
          <w:sz w:val="24"/>
          <w:u w:val="none"/>
          <w:rFonts w:ascii="Times New Roman" w:hAnsi="Times New Roman"/>
        </w:rPr>
        <w:t xml:space="preserve">i varje enskilt fall</w:t>
      </w:r>
      <w:r>
        <w:rPr>
          <w:sz w:val="24"/>
          <w:u w:val="none"/>
          <w:rFonts w:ascii="Times New Roman" w:hAnsi="Times New Roman"/>
        </w:rPr>
        <w:t xml:space="preserve">, upp till det lägre av det intecknade beloppet och 55 % av fastighetsvärdet, om inte annat beslutats enligt artikel 124.9, i tillämpliga fall.</w:t>
      </w:r>
      <w:r>
        <w:rPr>
          <w:sz w:val="24"/>
          <w:u w:val="none"/>
          <w:rFonts w:ascii="Times New Roman" w:hAnsi="Times New Roman"/>
        </w:rPr>
        <w:t xml:space="preserve"> </w:t>
      </w:r>
      <w:r>
        <w:rPr>
          <w:sz w:val="24"/>
          <w:u w:val="none"/>
          <w:rFonts w:ascii="Times New Roman" w:hAnsi="Times New Roman"/>
        </w:rPr>
        <w:t xml:space="preserve">Förlusterna härrör från exponeringar som fastställts i enlighet med reglerna i del tre avdelning II i förordning (EU) nr 575/2013.</w:t>
      </w:r>
    </w:p>
    <w:p w14:paraId="0DBC1AB6" w14:textId="20D2E23B" w:rsidR="00E27BC7"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Kolumn 0030:</w:t>
      </w:r>
      <w:r>
        <w:rPr>
          <w:sz w:val="24"/>
          <w:u w:val="none"/>
          <w:rFonts w:ascii="Times New Roman" w:hAnsi="Times New Roman"/>
        </w:rPr>
        <w:t xml:space="preserve"> </w:t>
      </w:r>
      <w:r>
        <w:rPr>
          <w:sz w:val="24"/>
          <w:u w:val="none"/>
          <w:rFonts w:ascii="Times New Roman" w:hAnsi="Times New Roman"/>
        </w:rPr>
        <w:t xml:space="preserve">Förluster som rapporteras i enlighet med artikel 430a.1 b och e är förluster från exponeringar för vilka ett institut har godtagit bostadsfastigheter eller kommersiella fastigheter som säkerhet, i varje enskilt fall, upp till det lägre av det intecknade beloppet och 100 % av fastighetsvärdet.</w:t>
      </w:r>
      <w:r>
        <w:rPr>
          <w:sz w:val="24"/>
          <w:u w:val="none"/>
          <w:rFonts w:ascii="Times New Roman" w:hAnsi="Times New Roman"/>
        </w:rPr>
        <w:t xml:space="preserve"> </w:t>
      </w:r>
      <w:r>
        <w:rPr>
          <w:sz w:val="24"/>
          <w:u w:val="none"/>
          <w:rFonts w:ascii="Times New Roman" w:hAnsi="Times New Roman"/>
        </w:rPr>
        <w:t xml:space="preserve">Förlusterna härrör från exponeringar som fastställts i enlighet med reglerna i del tre avdelning II i förordning (EU) nr 575/2013.</w:t>
      </w:r>
    </w:p>
    <w:p w14:paraId="2C15211F" w14:textId="47254851" w:rsidR="009E21CF" w:rsidRPr="00820370"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Kolumn 0050:</w:t>
      </w:r>
      <w:r>
        <w:rPr>
          <w:sz w:val="24"/>
          <w:u w:val="none"/>
          <w:rFonts w:ascii="Times New Roman" w:hAnsi="Times New Roman"/>
        </w:rPr>
        <w:t xml:space="preserve"> </w:t>
      </w:r>
      <w:r>
        <w:rPr>
          <w:sz w:val="24"/>
          <w:u w:val="none"/>
          <w:rFonts w:ascii="Times New Roman" w:hAnsi="Times New Roman"/>
        </w:rPr>
        <w:t xml:space="preserve">Exponeringsvärden för utestående exponeringar som rapporteras i enlighet med artikel 430a.1 c och f är exponeringar för vilka banken har godtagit bostadsfastigheter eller kommersiella fastigheter som säkerhet, i varje enskilt fall, upp till det lägre av det intecknade beloppet och 100 % av fastighetsvärdet.</w:t>
      </w:r>
      <w:r>
        <w:rPr>
          <w:sz w:val="24"/>
          <w:u w:val="none"/>
          <w:rFonts w:ascii="Times New Roman" w:hAnsi="Times New Roman"/>
        </w:rPr>
        <w:t xml:space="preserve"> </w:t>
      </w:r>
      <w:r>
        <w:rPr>
          <w:sz w:val="24"/>
          <w:u w:val="none"/>
          <w:rFonts w:ascii="Times New Roman" w:hAnsi="Times New Roman"/>
        </w:rPr>
        <w:t xml:space="preserve">Exponeringsvärdena fastställs i enlighet med reglerna i del tre avdelning II i förordning (EU) nr 575/2013.</w:t>
      </w:r>
    </w:p>
    <w:p w14:paraId="75C4E60E" w14:textId="2244A615" w:rsidR="003F65EC" w:rsidRDefault="00DD2656"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Alla exponeringar som är säkrade genom bostadsfastigheter och kommersiella fastigheter som omfattas av kraven i del tre avdelning II i förordning (EU) nr 575/2013 och där ett godtagande av säkerheten skulle leda till en minskning av det riskvägda exponeringsbeloppet, även om denna minskning annulleras genom beslut av den behöriga eller utsedda myndigheten med tillämpning av artikel 124.9, ska rapporteras i mall C 15.00.</w:t>
      </w:r>
      <w:r>
        <w:rPr>
          <w:sz w:val="24"/>
          <w:u w:val="none"/>
          <w:rFonts w:ascii="Times New Roman" w:hAnsi="Times New Roman"/>
        </w:rPr>
        <w:t xml:space="preserve"> </w:t>
      </w:r>
      <w:r>
        <w:rPr>
          <w:sz w:val="24"/>
          <w:u w:val="none"/>
          <w:rFonts w:ascii="Times New Roman" w:hAnsi="Times New Roman"/>
        </w:rPr>
        <w:t xml:space="preserve">Detta betyder också att de berörda exponeringarna och förlusterna inte får rapporteras om den fasta egendomens riskreducerande effekt endast används för interna syften (dvs. i enlighet med den andra pelaren) eller för stora exponeringar (se del fyra i förordning (EU) nr 575/2013).</w:t>
      </w:r>
      <w:r>
        <w:rPr>
          <w:sz w:val="24"/>
          <w:u w:val="none"/>
          <w:rFonts w:ascii="Times New Roman" w:hAnsi="Times New Roman"/>
        </w:rPr>
        <w:t xml:space="preserve"> </w:t>
      </w:r>
      <w:r>
        <w:rPr>
          <w:sz w:val="24"/>
          <w:u w:val="none"/>
          <w:rFonts w:ascii="Times New Roman" w:hAnsi="Times New Roman"/>
        </w:rPr>
        <w:t xml:space="preserve">I synnerhet ska exponeringar enligt artikel 124.1 i förordning (EU) nr 575/2013 inte rapporteras.</w:t>
      </w:r>
      <w:r>
        <w:rPr>
          <w:sz w:val="24"/>
          <w:u w:val="none"/>
          <w:rFonts w:ascii="Times New Roman" w:hAnsi="Times New Roman"/>
        </w:rPr>
        <w:t xml:space="preserve"> </w:t>
      </w:r>
      <w:r>
        <w:rPr>
          <w:sz w:val="24"/>
          <w:u w:val="none"/>
          <w:rFonts w:ascii="Times New Roman" w:hAnsi="Times New Roman"/>
        </w:rPr>
        <w:t xml:space="preserve">Exponeringen ska fortfarande rapporteras även om den har fallerat.</w:t>
      </w:r>
    </w:p>
    <w:p w14:paraId="355D0107" w14:textId="405B1CCF" w:rsidR="008C6A88" w:rsidRPr="008A4E00" w:rsidRDefault="004C41D1"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I enlighet med artikel 430a.1 a och d i förordning (EU) nr 575/2013 ska uppgifterna, om artikel 124.9 tillämpas, rapporteras i kolumn 0010 i enlighet med de justerade referensprocentsatserna, i tillämpliga fall.</w:t>
      </w:r>
      <w:r>
        <w:rPr>
          <w:sz w:val="24"/>
          <w:u w:val="none"/>
          <w:rFonts w:ascii="Times New Roman" w:hAnsi="Times New Roman"/>
        </w:rPr>
        <w:t xml:space="preserve"> </w:t>
      </w:r>
      <w:r>
        <w:rPr>
          <w:sz w:val="24"/>
          <w:u w:val="none"/>
          <w:rFonts w:ascii="Times New Roman" w:hAnsi="Times New Roman"/>
        </w:rPr>
        <w:t xml:space="preserve">Uppgifterna ska rapporteras i kolumnerna 0030–0050 i enlighet med artikel 430a.1 b, c, e och f.</w:t>
      </w:r>
      <w:r>
        <w:rPr>
          <w:sz w:val="24"/>
          <w:u w:val="none"/>
          <w:rFonts w:ascii="Times New Roman" w:hAnsi="Times New Roman"/>
        </w:rPr>
        <w:t xml:space="preserve"> </w:t>
      </w:r>
    </w:p>
    <w:p w14:paraId="476B3438" w14:textId="4EA61BBD" w:rsidR="000471B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Förluster:</w:t>
      </w:r>
      <w:r>
        <w:rPr>
          <w:sz w:val="24"/>
          <w:u w:val="none"/>
          <w:rFonts w:ascii="Times New Roman" w:hAnsi="Times New Roman"/>
        </w:rPr>
        <w:t xml:space="preserve"> </w:t>
      </w:r>
      <w:r>
        <w:rPr>
          <w:sz w:val="24"/>
          <w:u w:val="none"/>
          <w:rFonts w:ascii="Times New Roman" w:hAnsi="Times New Roman"/>
        </w:rPr>
        <w:t xml:space="preserve">Det institut som har exponeringen vid rapportperiodens slut ska rapportera förlusterna.</w:t>
      </w:r>
      <w:r>
        <w:rPr>
          <w:sz w:val="24"/>
          <w:u w:val="none"/>
          <w:rFonts w:ascii="Times New Roman" w:hAnsi="Times New Roman"/>
        </w:rPr>
        <w:t xml:space="preserve"> </w:t>
      </w:r>
      <w:r>
        <w:rPr>
          <w:sz w:val="24"/>
          <w:u w:val="none"/>
          <w:rFonts w:ascii="Times New Roman" w:hAnsi="Times New Roman"/>
        </w:rPr>
        <w:t xml:space="preserve">Förluster ska rapporteras så snart avsättningar måste bokföras i enlighet med redovisningsregler.</w:t>
      </w:r>
      <w:r>
        <w:rPr>
          <w:sz w:val="24"/>
          <w:u w:val="none"/>
          <w:rFonts w:ascii="Times New Roman" w:hAnsi="Times New Roman"/>
        </w:rPr>
        <w:t xml:space="preserve"> </w:t>
      </w:r>
      <w:r>
        <w:rPr>
          <w:sz w:val="24"/>
          <w:u w:val="none"/>
          <w:rFonts w:ascii="Times New Roman" w:hAnsi="Times New Roman"/>
        </w:rPr>
        <w:t xml:space="preserve">Även de uppskattade förlusterna ska rapporteras.</w:t>
      </w:r>
      <w:r>
        <w:rPr>
          <w:sz w:val="24"/>
          <w:u w:val="none"/>
          <w:rFonts w:ascii="Times New Roman" w:hAnsi="Times New Roman"/>
        </w:rPr>
        <w:t xml:space="preserve"> </w:t>
      </w:r>
      <w:r>
        <w:rPr>
          <w:sz w:val="24"/>
          <w:u w:val="none"/>
          <w:rFonts w:ascii="Times New Roman" w:hAnsi="Times New Roman"/>
        </w:rPr>
        <w:t xml:space="preserve">Förluster från exponeringar som säkerställs av fast egendom ska beräknas för varje enskilt lån och läggas samman för rapporteringsändamål.</w:t>
      </w:r>
    </w:p>
    <w:p w14:paraId="76BF16A4" w14:textId="30BD44C0"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Referensdatum:</w:t>
      </w:r>
      <w:r>
        <w:rPr>
          <w:sz w:val="24"/>
          <w:u w:val="none"/>
          <w:rFonts w:ascii="Times New Roman" w:hAnsi="Times New Roman"/>
        </w:rPr>
        <w:t xml:space="preserve"> </w:t>
      </w:r>
      <w:r>
        <w:rPr>
          <w:sz w:val="24"/>
          <w:u w:val="none"/>
          <w:rFonts w:ascii="Times New Roman" w:hAnsi="Times New Roman"/>
        </w:rPr>
        <w:t xml:space="preserve">Exponeringsvärdet vid referensdatumet ska användas.</w:t>
      </w:r>
      <w:r>
        <w:rPr>
          <w:sz w:val="24"/>
          <w:u w:val="none"/>
          <w:rFonts w:ascii="Times New Roman" w:hAnsi="Times New Roman"/>
        </w:rPr>
        <w:t xml:space="preserve"> </w:t>
      </w:r>
      <w:r>
        <w:rPr>
          <w:sz w:val="24"/>
          <w:u w:val="none"/>
          <w:rFonts w:ascii="Times New Roman" w:hAnsi="Times New Roman"/>
        </w:rPr>
        <w:t xml:space="preserve">För exponeringar som har fallerat under perioden ska exponeringsvärdet vid fallissemang användas.</w:t>
      </w:r>
      <w:r>
        <w:rPr>
          <w:sz w:val="24"/>
          <w:u w:val="none"/>
          <w:rFonts w:ascii="Times New Roman" w:hAnsi="Times New Roman"/>
        </w:rPr>
        <w:t xml:space="preserve"> </w:t>
      </w:r>
      <w:r>
        <w:rPr>
          <w:sz w:val="24"/>
          <w:u w:val="none"/>
          <w:rFonts w:ascii="Times New Roman" w:hAnsi="Times New Roman"/>
        </w:rPr>
        <w:t xml:space="preserve">För exponeringar som har fallerat under tidigare perioder ska exponeringsvärdet vid referensdatumet användas.</w:t>
      </w:r>
    </w:p>
    <w:p w14:paraId="1BD48AAA" w14:textId="4601E799"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Förluster för alla fallissemang avseende lån med fastigheter som säkerhet och som inträffar under rapportperioden ska rapporteras, oavsett av om återvinningen har avslutats eller inte.</w:t>
      </w:r>
      <w:r>
        <w:rPr>
          <w:sz w:val="24"/>
          <w:u w:val="none"/>
          <w:rFonts w:ascii="Times New Roman" w:hAnsi="Times New Roman"/>
        </w:rPr>
        <w:t xml:space="preserve"> </w:t>
      </w:r>
      <w:r>
        <w:rPr>
          <w:sz w:val="24"/>
          <w:u w:val="none"/>
          <w:rFonts w:ascii="Times New Roman" w:hAnsi="Times New Roman"/>
        </w:rPr>
        <w:t xml:space="preserve">Förluster som ska rapporteras per den 31 december ska avse hela kalenderåret.</w:t>
      </w:r>
      <w:r>
        <w:rPr>
          <w:sz w:val="24"/>
          <w:u w:val="none"/>
          <w:rFonts w:ascii="Times New Roman" w:hAnsi="Times New Roman"/>
        </w:rPr>
        <w:t xml:space="preserve"> </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Tre scenarier finns för fallissemang som inträffar under rapportperioden:</w:t>
      </w:r>
      <w:r>
        <w:rPr>
          <w:sz w:val="24"/>
          <w:u w:val="none"/>
          <w:rFonts w:ascii="Times New Roman" w:hAnsi="Times New Roman"/>
        </w:rPr>
        <w:t xml:space="preserve"> </w:t>
      </w:r>
      <w:r>
        <w:rPr>
          <w:sz w:val="24"/>
          <w:u w:val="none"/>
          <w:rFonts w:ascii="Times New Roman" w:hAnsi="Times New Roman"/>
        </w:rPr>
        <w:t xml:space="preserve">i) ett fallerat lån kan omstruktureras så att det inte längre behöver behandlas som fallerat (ingen förlust noteras),</w:t>
      </w:r>
      <w:r>
        <w:rPr>
          <w:sz w:val="24"/>
          <w:u w:val="none"/>
          <w:rFonts w:ascii="Times New Roman" w:hAnsi="Times New Roman"/>
        </w:rPr>
        <w:t xml:space="preserve"> </w:t>
      </w:r>
      <w:r>
        <w:rPr>
          <w:sz w:val="24"/>
          <w:u w:val="none"/>
          <w:rFonts w:ascii="Times New Roman" w:hAnsi="Times New Roman"/>
        </w:rPr>
        <w:t xml:space="preserve">ii) alla säkerheter har realiserats (avslutad återvinning, verklig förlust känd),</w:t>
      </w:r>
      <w:r>
        <w:rPr>
          <w:sz w:val="24"/>
          <w:u w:val="none"/>
          <w:rFonts w:ascii="Times New Roman" w:hAnsi="Times New Roman"/>
        </w:rPr>
        <w:t xml:space="preserve"> </w:t>
      </w:r>
      <w:r>
        <w:rPr>
          <w:sz w:val="24"/>
          <w:u w:val="none"/>
          <w:rFonts w:ascii="Times New Roman" w:hAnsi="Times New Roman"/>
        </w:rPr>
        <w:t xml:space="preserve">eller iii) ej avslutad återvinning (förlustuppskattningar ska användas).</w:t>
      </w:r>
      <w:r>
        <w:rPr>
          <w:sz w:val="24"/>
          <w:u w:val="none"/>
          <w:rFonts w:ascii="Times New Roman" w:hAnsi="Times New Roman"/>
        </w:rPr>
        <w:t xml:space="preserve"> </w:t>
      </w:r>
      <w:r>
        <w:rPr>
          <w:sz w:val="24"/>
          <w:u w:val="none"/>
          <w:rFonts w:ascii="Times New Roman" w:hAnsi="Times New Roman"/>
        </w:rPr>
        <w:t xml:space="preserve">Rapportering av förluster ska endast omfatta förluster från scenario ii) realisering av säkerheter (faktiska förluster) och scenario iii) ej avslutad återvinning (uppskattade förluster).</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Eftersom endast de förluster som avser exponeringar som fallerat under rapportperioden ska rapporteras, kommer förändringar i förluster på exponeringar som fallerat under tidigare rapportperioder inte att visas i rapporten, dvs. avkastning från realisering av säkerheten under en senare rapportperiod eller lägre realiserade kostnader än vad som tidigare uppskattas ska alltså inte rapporteras.</w:t>
      </w:r>
    </w:p>
    <w:p w14:paraId="41BE913E" w14:textId="23CFCE93"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u w:val="none"/>
          <w:sz w:val="24"/>
          <w:rFonts w:ascii="Times New Roman" w:hAnsi="Times New Roman"/>
        </w:rPr>
        <w:t xml:space="preserve">14.</w:t>
      </w:r>
      <w:r>
        <w:rPr>
          <w:u w:val="none"/>
          <w:sz w:val="24"/>
          <w:rFonts w:ascii="Times New Roman" w:hAnsi="Times New Roman"/>
        </w:rPr>
        <w:tab/>
      </w:r>
      <w:r>
        <w:rPr>
          <w:u w:val="none"/>
          <w:sz w:val="24"/>
          <w:rFonts w:ascii="Times New Roman" w:hAnsi="Times New Roman"/>
        </w:rPr>
        <w:t xml:space="preserve">Betydelsen av värderingen av fastigheten:</w:t>
      </w:r>
      <w:r>
        <w:rPr>
          <w:u w:val="none"/>
          <w:sz w:val="24"/>
          <w:rFonts w:ascii="Times New Roman" w:hAnsi="Times New Roman"/>
        </w:rPr>
        <w:t xml:space="preserve"> </w:t>
      </w:r>
      <w:r>
        <w:rPr>
          <w:u w:val="none"/>
          <w:sz w:val="24"/>
          <w:rFonts w:ascii="Times New Roman" w:hAnsi="Times New Roman"/>
        </w:rPr>
        <w:t xml:space="preserve">Den senaste värderingen av fastigheten före fallissemangsdatum behövs som referens för rapporteringen av den del av exponeringen som säkrats genom panträtt i fast egendom.</w:t>
      </w:r>
      <w:r>
        <w:rPr>
          <w:u w:val="none"/>
          <w:sz w:val="24"/>
          <w:rFonts w:ascii="Times New Roman" w:hAnsi="Times New Roman"/>
        </w:rPr>
        <w:t xml:space="preserve"> </w:t>
      </w:r>
      <w:r>
        <w:rPr>
          <w:u w:val="none"/>
          <w:sz w:val="24"/>
          <w:rFonts w:ascii="Times New Roman" w:hAnsi="Times New Roman"/>
        </w:rPr>
        <w:t xml:space="preserve">Efter fallissemang kan fastigheten omvärderas.</w:t>
      </w:r>
      <w:r>
        <w:rPr>
          <w:u w:val="none"/>
          <w:sz w:val="24"/>
          <w:rFonts w:ascii="Times New Roman" w:hAnsi="Times New Roman"/>
        </w:rPr>
        <w:t xml:space="preserve"> </w:t>
      </w:r>
      <w:r>
        <w:rPr>
          <w:u w:val="none"/>
          <w:sz w:val="24"/>
          <w:rFonts w:ascii="Times New Roman" w:hAnsi="Times New Roman"/>
        </w:rPr>
        <w:t xml:space="preserve">Detta nya värde bör dock inte användas för att identifiera den del av exponeringen som ursprungligen var säkrad upp till den del av exponeringsvärdet som är säkrad upp till det lägre av det intecknade beloppet och 55 % av fastighetsvärdet, om inte annat beslutas enligt artikel 124.9 i förordning (EU) nr 575/2013.</w:t>
      </w:r>
      <w:r>
        <w:rPr>
          <w:u w:val="none"/>
          <w:sz w:val="24"/>
          <w:rFonts w:ascii="Times New Roman" w:hAnsi="Times New Roman"/>
        </w:rPr>
        <w:t xml:space="preserve"> </w:t>
      </w:r>
      <w:r>
        <w:rPr>
          <w:u w:val="none"/>
          <w:sz w:val="24"/>
          <w:rFonts w:ascii="Times New Roman" w:hAnsi="Times New Roman"/>
        </w:rPr>
        <w:t xml:space="preserve">Fastighetens nya värde ska dock beaktas vid rapportering av ekonomiska förluster (ett lägre fastighetsvärde utgör en del av de ekonomiska kostnaderna).</w:t>
      </w:r>
      <w:r>
        <w:rPr>
          <w:u w:val="none"/>
          <w:sz w:val="24"/>
          <w:rFonts w:ascii="Times New Roman" w:hAnsi="Times New Roman"/>
        </w:rPr>
        <w:t xml:space="preserve"> </w:t>
      </w:r>
      <w:r>
        <w:rPr>
          <w:u w:val="none"/>
          <w:sz w:val="24"/>
          <w:rFonts w:ascii="Times New Roman" w:hAnsi="Times New Roman"/>
        </w:rPr>
        <w:t xml:space="preserve">Med andra ord ska den senaste värderingen av fastigheten före fallissemangsdatum användas för bedömning av vilken del av förlusten som ska rapporteras i kolumn 0010, och det omräknade fastighetsvärdet ska användas för det belopp som ska rapporteras (uppskattning av eventuell återvinning av säkerhet) i kolumnerna 0010 och 0030.</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rPr>
          <w:sz w:val="24"/>
          <w:u w:val="none"/>
          <w:rFonts w:ascii="Times New Roman" w:hAnsi="Times New Roman"/>
        </w:rPr>
        <w:tab/>
      </w:r>
      <w:r>
        <w:rPr>
          <w:sz w:val="24"/>
          <w:u w:val="none"/>
          <w:rFonts w:ascii="Times New Roman" w:hAnsi="Times New Roman"/>
        </w:rPr>
        <w:t xml:space="preserve">Behandling av försäljning av lån under rapportperioden:</w:t>
      </w:r>
      <w:r>
        <w:rPr>
          <w:sz w:val="24"/>
          <w:u w:val="none"/>
          <w:rFonts w:ascii="Times New Roman" w:hAnsi="Times New Roman"/>
        </w:rPr>
        <w:t xml:space="preserve"> </w:t>
      </w:r>
      <w:r>
        <w:rPr>
          <w:sz w:val="24"/>
          <w:u w:val="none"/>
          <w:rFonts w:ascii="Times New Roman" w:hAnsi="Times New Roman"/>
        </w:rPr>
        <w:t xml:space="preserve">Det institut som har exponeringen i slutet av rapportperioden ska rapportera förluster, men endast om fallissemang konstaterats för exponeringen i fråga.</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2" w:name="_Toc310008820"/>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Anvisningar för specifika positioner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Kolumn</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förluster från utlåning upp till referensprocentsatsen</w:t>
            </w:r>
          </w:p>
          <w:p w14:paraId="07E5E64A" w14:textId="2F881E1B"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430a.1 a respektive 430a.1 d i förordning (EU) nr 575/2013.</w:t>
            </w:r>
            <w:r>
              <w:rPr>
                <w:sz w:val="24"/>
                <w:rStyle w:val="InstructionsTabelleText"/>
                <w:rFonts w:ascii="Times New Roman" w:hAnsi="Times New Roman"/>
              </w:rPr>
              <w:t xml:space="preserve"> </w:t>
            </w:r>
          </w:p>
          <w:p w14:paraId="19C0501E" w14:textId="00748038" w:rsidR="000471B0" w:rsidRPr="008A4E00" w:rsidRDefault="00A30A3F"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Fastighetsvärdet i enlighet med artikel 4.1.74a i förordning (EU) nr 575/2013.</w:t>
            </w:r>
          </w:p>
          <w:p w14:paraId="01CE6153" w14:textId="48C64144" w:rsidR="000471B0" w:rsidRPr="00F67747" w:rsidRDefault="00D87924" w:rsidP="00C60BE1">
            <w:pPr>
              <w:spacing w:beforeLines="60" w:before="144" w:afterLines="60" w:after="144"/>
              <w:rPr>
                <w:sz w:val="24"/>
                <w:rFonts w:ascii="Times New Roman" w:hAnsi="Times New Roman"/>
              </w:rPr>
            </w:pPr>
            <w:r>
              <w:rPr>
                <w:sz w:val="24"/>
                <w:rFonts w:ascii="Times New Roman" w:hAnsi="Times New Roman"/>
              </w:rPr>
              <w:t xml:space="preserve">I denna kolumn samlas alla förluster från exponeringar för vilka ett institut har godtagit bostadsfastigheter eller kommersiella fastigheter som säkerhet, i varje enskilt fall, upp till den del av exponeringsvärdet som är säkrad upp till det lägre av det intecknade beloppet och 55 % av fastighetsvärdet, om inte annat beslutats enligt artikel 124.9, i tillämpliga fall.</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förluster</w:t>
            </w:r>
          </w:p>
          <w:p w14:paraId="7CD90D4F" w14:textId="4EFAFAF3"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430a.1 b respektive 430a.1 e i förordning (EU) nr 575/2013.</w:t>
            </w:r>
            <w:r>
              <w:rPr>
                <w:sz w:val="24"/>
                <w:rStyle w:val="InstructionsTabelleText"/>
                <w:rFonts w:ascii="Times New Roman" w:hAnsi="Times New Roman"/>
              </w:rPr>
              <w:t xml:space="preserve"> </w:t>
            </w:r>
            <w:r>
              <w:rPr>
                <w:sz w:val="24"/>
                <w:rFonts w:ascii="Times New Roman" w:hAnsi="Times New Roman"/>
              </w:rPr>
              <w:t xml:space="preserve">Fastighetsvärdet i enlighet med artikel 4.1.74a i förordning (EU) nr 575/2013.</w:t>
            </w:r>
          </w:p>
          <w:p w14:paraId="2DE09B4B" w14:textId="2B3BA46D" w:rsidR="004E748D" w:rsidRPr="00F402D0" w:rsidRDefault="00713F52"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I denna kolumn samlas alla förluster från exponeringar för vilka ett institut har godtagit bostadsfastigheter eller kommersiella fastigheter som säkerhet, i varje enskilt fall, upp till den del av exponeringsvärdet som är säkrad upp till det lägre av det intecknade beloppet och 100 % av fastighetsvärdet.</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exponeringar</w:t>
            </w:r>
          </w:p>
          <w:p w14:paraId="7C6ADC5B" w14:textId="3D42E377"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430a.1 c och f i förordning (EU) nr 575/2013.</w:t>
            </w:r>
          </w:p>
          <w:p w14:paraId="59F027DB" w14:textId="5CBC3927" w:rsidR="00206DF5" w:rsidRDefault="00DC5657"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Värdet av exponeringar för vilka banken har godtagit bostadsfastigheter eller kommersiella fastigheter som säkerhet, i varje enskilt fall, upp till den del av exponeringsvärdet som är säkrad upp till det lägre av det intecknade beloppet och 100 % av fastighetsvärdet.</w:t>
            </w:r>
          </w:p>
          <w:p w14:paraId="1CF31593" w14:textId="7B1602CE" w:rsidR="00A122F8" w:rsidRPr="008A4E00" w:rsidRDefault="00A122F8" w:rsidP="000D26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 händelse av fallissemang ska det rapporterade exponeringsvärdet för exponeringar som har fallerat under perioden vara exponeringsvärdet precis före fallissemanget. För exponeringar som har fallerat under tidigare perioder ska det rapporterade exponeringsvärdet vara exponeringsvärdet på referensdatumet.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Rad</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Bostadsfastigheter</w:t>
            </w:r>
            <w:r>
              <w:rPr>
                <w:rStyle w:val="InstructionsTabelleberschrift"/>
                <w:sz w:val="24"/>
                <w:rFonts w:ascii="Times New Roman" w:hAnsi="Times New Roman"/>
              </w:rPr>
              <w:t xml:space="preserve"> </w:t>
            </w:r>
          </w:p>
          <w:p w14:paraId="4BFD2574" w14:textId="2863C850" w:rsidR="00835C71" w:rsidRPr="008A4E00" w:rsidRDefault="00835C71" w:rsidP="00F76469">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Bostadsfastighet enligt definitionen i artikel 4.1.75 i förordning (EU) nr 575/2013.</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7BAFC089" w14:textId="77777777" w:rsidR="00A50938"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Kommersiella fastigheter</w:t>
            </w:r>
          </w:p>
          <w:p w14:paraId="44906BD1" w14:textId="55C01692" w:rsidR="000471B0" w:rsidRPr="008A4E00" w:rsidRDefault="00F76469" w:rsidP="00A6020A">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 </w:t>
            </w:r>
            <w:r>
              <w:rPr>
                <w:sz w:val="24"/>
                <w:rFonts w:ascii="Times New Roman" w:hAnsi="Times New Roman"/>
              </w:rPr>
              <w:t xml:space="preserve">Kommersiell fastighet enligt definitionen i artikel 4.1.75a i förordning (EU) nr 575/2013.</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r>
      <w:t xml:space="preserve">SV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sv-S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sv-SE"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sv-S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sv-S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sv-S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sv-S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sv-S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sv-S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sv-S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sv-S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sv-SE"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sv-SE"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sv-S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sv-S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sv-S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sv-SE"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sv-SE" w:eastAsia="de-DE"/>
    </w:rPr>
  </w:style>
  <w:style w:type="paragraph" w:styleId="Revision">
    <w:name w:val="Revision"/>
    <w:hidden/>
    <w:uiPriority w:val="99"/>
    <w:semiHidden/>
    <w:rsid w:val="00884FEB"/>
    <w:rPr>
      <w:rFonts w:ascii="Verdana" w:eastAsia="Times New Roman" w:hAnsi="Verdana"/>
      <w:szCs w:val="24"/>
      <w:lang w:val="sv-SE"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sv-S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sv-SE"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sv-SE"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DF4C200C-CD71-483A-84F6-2F0AB52DFFF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